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 xml:space="preserve">Додаток </w:t>
      </w:r>
      <w:r>
        <w:rPr>
          <w:rFonts w:ascii="Verdana" w:hAnsi="Verdana" w:cs="Verdana"/>
          <w:sz w:val="18"/>
          <w:szCs w:val="18"/>
        </w:rPr>
        <w:t>5</w:t>
      </w: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 xml:space="preserve">який є невід’ємною частиною протоколу № </w:t>
      </w:r>
      <w:r>
        <w:rPr>
          <w:rFonts w:ascii="Verdana" w:hAnsi="Verdana" w:cs="Verdana"/>
          <w:sz w:val="18"/>
          <w:szCs w:val="18"/>
        </w:rPr>
        <w:t>14</w:t>
      </w: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 xml:space="preserve">засідання Наглядової ради ПрАТ «ВО «СТАЛЬКАНАТ-СІЛУР» </w:t>
      </w: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>від «</w:t>
      </w:r>
      <w:r>
        <w:rPr>
          <w:rFonts w:ascii="Verdana" w:hAnsi="Verdana" w:cs="Verdana"/>
          <w:sz w:val="18"/>
          <w:szCs w:val="18"/>
        </w:rPr>
        <w:t>09</w:t>
      </w:r>
      <w:r w:rsidRPr="001060E6">
        <w:rPr>
          <w:rFonts w:ascii="Verdana" w:hAnsi="Verdana" w:cs="Verdana"/>
          <w:sz w:val="18"/>
          <w:szCs w:val="18"/>
        </w:rPr>
        <w:t xml:space="preserve">» </w:t>
      </w:r>
      <w:r>
        <w:rPr>
          <w:rFonts w:ascii="Verdana" w:hAnsi="Verdana" w:cs="Verdana"/>
          <w:sz w:val="18"/>
          <w:szCs w:val="18"/>
        </w:rPr>
        <w:t>квітня</w:t>
      </w:r>
      <w:r w:rsidRPr="001060E6">
        <w:rPr>
          <w:rFonts w:ascii="Verdana" w:hAnsi="Verdana" w:cs="Verdana"/>
          <w:sz w:val="18"/>
          <w:szCs w:val="18"/>
        </w:rPr>
        <w:t xml:space="preserve"> 2021 р.</w:t>
      </w: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 xml:space="preserve">Затверджено </w:t>
      </w: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>рішенням Наглядової ради ПрАТ «ВО «СТАЛЬКАНАТ-СІЛУР»</w:t>
      </w:r>
    </w:p>
    <w:p w:rsidR="00DD58F4" w:rsidRPr="001060E6" w:rsidRDefault="00DD58F4" w:rsidP="00DD58F4">
      <w:pPr>
        <w:spacing w:after="60"/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>від «</w:t>
      </w:r>
      <w:r>
        <w:rPr>
          <w:rFonts w:ascii="Verdana" w:hAnsi="Verdana" w:cs="Verdana"/>
          <w:sz w:val="18"/>
          <w:szCs w:val="18"/>
        </w:rPr>
        <w:t>09</w:t>
      </w:r>
      <w:r w:rsidRPr="001060E6">
        <w:rPr>
          <w:rFonts w:ascii="Verdana" w:hAnsi="Verdana" w:cs="Verdana"/>
          <w:sz w:val="18"/>
          <w:szCs w:val="18"/>
        </w:rPr>
        <w:t xml:space="preserve">» </w:t>
      </w:r>
      <w:r>
        <w:rPr>
          <w:rFonts w:ascii="Verdana" w:hAnsi="Verdana" w:cs="Verdana"/>
          <w:sz w:val="18"/>
          <w:szCs w:val="18"/>
        </w:rPr>
        <w:t>квіт</w:t>
      </w:r>
      <w:r w:rsidRPr="001060E6">
        <w:rPr>
          <w:rFonts w:ascii="Verdana" w:hAnsi="Verdana" w:cs="Verdana"/>
          <w:sz w:val="18"/>
          <w:szCs w:val="18"/>
        </w:rPr>
        <w:t xml:space="preserve">ня 2021р. (протокол № </w:t>
      </w:r>
      <w:r>
        <w:rPr>
          <w:rFonts w:ascii="Verdana" w:hAnsi="Verdana" w:cs="Verdana"/>
          <w:sz w:val="18"/>
          <w:szCs w:val="18"/>
        </w:rPr>
        <w:t>14</w:t>
      </w:r>
      <w:r w:rsidRPr="001060E6">
        <w:rPr>
          <w:rFonts w:ascii="Verdana" w:hAnsi="Verdana" w:cs="Verdana"/>
          <w:sz w:val="18"/>
          <w:szCs w:val="18"/>
        </w:rPr>
        <w:t>)</w:t>
      </w:r>
    </w:p>
    <w:p w:rsidR="00DD58F4" w:rsidRPr="001060E6" w:rsidRDefault="00DD58F4" w:rsidP="00DD58F4">
      <w:pPr>
        <w:spacing w:after="60"/>
        <w:jc w:val="center"/>
        <w:rPr>
          <w:rFonts w:ascii="Verdana" w:hAnsi="Verdana" w:cs="Verdana"/>
          <w:sz w:val="18"/>
          <w:szCs w:val="18"/>
        </w:rPr>
      </w:pPr>
    </w:p>
    <w:p w:rsidR="00DD58F4" w:rsidRPr="001060E6" w:rsidRDefault="00DD58F4" w:rsidP="00DD58F4">
      <w:pPr>
        <w:spacing w:after="60"/>
        <w:rPr>
          <w:rFonts w:ascii="Verdana" w:hAnsi="Verdana" w:cs="Verdana"/>
          <w:b/>
          <w:sz w:val="18"/>
          <w:szCs w:val="18"/>
        </w:rPr>
      </w:pPr>
      <w:r w:rsidRPr="001060E6">
        <w:rPr>
          <w:rFonts w:ascii="Verdana" w:hAnsi="Verdana" w:cs="Verdana"/>
          <w:b/>
          <w:sz w:val="18"/>
          <w:szCs w:val="18"/>
        </w:rPr>
        <w:t>ТЕКСТ ПОВІДОМЛЕННЯ ПРО</w:t>
      </w:r>
      <w:r>
        <w:rPr>
          <w:rFonts w:ascii="Verdana" w:hAnsi="Verdana" w:cs="Verdana"/>
          <w:b/>
          <w:sz w:val="18"/>
          <w:szCs w:val="18"/>
        </w:rPr>
        <w:t xml:space="preserve"> ДОПОВНЕННЯ ПОРЯДКУ ДЕННОГО</w:t>
      </w:r>
      <w:r w:rsidRPr="001060E6">
        <w:rPr>
          <w:rFonts w:ascii="Verdana" w:hAnsi="Verdana" w:cs="Verdana"/>
          <w:b/>
          <w:sz w:val="18"/>
          <w:szCs w:val="18"/>
        </w:rPr>
        <w:t xml:space="preserve"> ЧЕРГОВ</w:t>
      </w:r>
      <w:r>
        <w:rPr>
          <w:rFonts w:ascii="Verdana" w:hAnsi="Verdana" w:cs="Verdana"/>
          <w:b/>
          <w:sz w:val="18"/>
          <w:szCs w:val="18"/>
        </w:rPr>
        <w:t>ИХ</w:t>
      </w:r>
      <w:r w:rsidRPr="001060E6">
        <w:rPr>
          <w:rFonts w:ascii="Verdana" w:hAnsi="Verdana" w:cs="Verdana"/>
          <w:b/>
          <w:sz w:val="18"/>
          <w:szCs w:val="18"/>
        </w:rPr>
        <w:t xml:space="preserve"> РІЧН</w:t>
      </w:r>
      <w:r>
        <w:rPr>
          <w:rFonts w:ascii="Verdana" w:hAnsi="Verdana" w:cs="Verdana"/>
          <w:b/>
          <w:sz w:val="18"/>
          <w:szCs w:val="18"/>
        </w:rPr>
        <w:t>ИХ</w:t>
      </w:r>
      <w:r w:rsidRPr="001060E6">
        <w:rPr>
          <w:rFonts w:ascii="Verdana" w:hAnsi="Verdana" w:cs="Verdana"/>
          <w:b/>
          <w:sz w:val="18"/>
          <w:szCs w:val="18"/>
        </w:rPr>
        <w:t xml:space="preserve"> ЗАГАЛЬН</w:t>
      </w:r>
      <w:r>
        <w:rPr>
          <w:rFonts w:ascii="Verdana" w:hAnsi="Verdana" w:cs="Verdana"/>
          <w:b/>
          <w:sz w:val="18"/>
          <w:szCs w:val="18"/>
        </w:rPr>
        <w:t>ИХ</w:t>
      </w:r>
      <w:r w:rsidRPr="001060E6">
        <w:rPr>
          <w:rFonts w:ascii="Verdana" w:hAnsi="Verdana" w:cs="Verdana"/>
          <w:b/>
          <w:sz w:val="18"/>
          <w:szCs w:val="18"/>
        </w:rPr>
        <w:t xml:space="preserve"> ЗБОР</w:t>
      </w:r>
      <w:r>
        <w:rPr>
          <w:rFonts w:ascii="Verdana" w:hAnsi="Verdana" w:cs="Verdana"/>
          <w:b/>
          <w:sz w:val="18"/>
          <w:szCs w:val="18"/>
        </w:rPr>
        <w:t>ІВ</w:t>
      </w:r>
      <w:r w:rsidRPr="001060E6">
        <w:rPr>
          <w:rFonts w:ascii="Verdana" w:hAnsi="Verdana" w:cs="Verdana"/>
          <w:b/>
          <w:sz w:val="18"/>
          <w:szCs w:val="18"/>
        </w:rPr>
        <w:t xml:space="preserve"> АКЦІОНЕРІВ 26.04.2021 р.</w:t>
      </w:r>
      <w:r>
        <w:rPr>
          <w:rFonts w:ascii="Verdana" w:hAnsi="Verdana" w:cs="Verdana"/>
          <w:b/>
          <w:sz w:val="18"/>
          <w:szCs w:val="18"/>
        </w:rPr>
        <w:t xml:space="preserve"> ДОДАТКОВИМИ ПИТАННЯМИ</w:t>
      </w:r>
      <w:r w:rsidRPr="001060E6">
        <w:rPr>
          <w:rFonts w:ascii="Verdana" w:hAnsi="Verdana" w:cs="Verdana"/>
          <w:b/>
          <w:sz w:val="18"/>
          <w:szCs w:val="18"/>
        </w:rPr>
        <w:t xml:space="preserve"> :</w:t>
      </w:r>
    </w:p>
    <w:p w:rsidR="00DD58F4" w:rsidRPr="001060E6" w:rsidRDefault="00DD58F4" w:rsidP="00DD58F4">
      <w:pPr>
        <w:spacing w:after="60"/>
        <w:rPr>
          <w:rFonts w:ascii="Verdana" w:hAnsi="Verdana" w:cs="Verdana"/>
          <w:sz w:val="18"/>
          <w:szCs w:val="18"/>
        </w:rPr>
      </w:pPr>
    </w:p>
    <w:p w:rsidR="00DD58F4" w:rsidRPr="001060E6" w:rsidRDefault="00DD58F4" w:rsidP="00DD58F4">
      <w:pPr>
        <w:spacing w:after="60"/>
        <w:jc w:val="center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>Шановний акціонере!</w:t>
      </w:r>
    </w:p>
    <w:p w:rsidR="00DD58F4" w:rsidRPr="00C303A1" w:rsidRDefault="00DD58F4" w:rsidP="00DD58F4">
      <w:pPr>
        <w:spacing w:before="120"/>
        <w:ind w:firstLine="425"/>
        <w:jc w:val="both"/>
        <w:rPr>
          <w:rFonts w:ascii="Verdana" w:hAnsi="Verdana" w:cs="Verdana"/>
          <w:bCs/>
          <w:sz w:val="18"/>
          <w:szCs w:val="18"/>
        </w:rPr>
      </w:pPr>
      <w:r w:rsidRPr="00C303A1">
        <w:rPr>
          <w:rFonts w:ascii="Verdana" w:hAnsi="Verdana" w:cs="Verdana"/>
          <w:bCs/>
          <w:sz w:val="18"/>
          <w:szCs w:val="18"/>
        </w:rPr>
        <w:t>За пропозицією акціонера від 05.04.2021 р., Наглядова Рада прийняла рішення доповнити Порядок денний чергових загальних зборів акціонерів, призначених на 26.04.2021 р. додатковими питаннями наступного змісту :</w:t>
      </w:r>
    </w:p>
    <w:p w:rsidR="00DD58F4" w:rsidRPr="001060E6" w:rsidRDefault="00DD58F4" w:rsidP="00DD58F4">
      <w:pPr>
        <w:spacing w:before="120"/>
        <w:ind w:firstLine="425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Додаткові питання п</w:t>
      </w:r>
      <w:r w:rsidRPr="001060E6">
        <w:rPr>
          <w:rFonts w:ascii="Verdana" w:hAnsi="Verdana" w:cs="Verdana"/>
          <w:b/>
          <w:bCs/>
          <w:sz w:val="18"/>
          <w:szCs w:val="18"/>
        </w:rPr>
        <w:t>роект</w:t>
      </w:r>
      <w:r>
        <w:rPr>
          <w:rFonts w:ascii="Verdana" w:hAnsi="Verdana" w:cs="Verdana"/>
          <w:b/>
          <w:bCs/>
          <w:sz w:val="18"/>
          <w:szCs w:val="18"/>
        </w:rPr>
        <w:t>у</w:t>
      </w:r>
      <w:r w:rsidRPr="001060E6">
        <w:rPr>
          <w:rFonts w:ascii="Verdana" w:hAnsi="Verdana" w:cs="Verdana"/>
          <w:b/>
          <w:bCs/>
          <w:sz w:val="18"/>
          <w:szCs w:val="18"/>
        </w:rPr>
        <w:t xml:space="preserve"> ПОРЯДКУ ДЕННОГО</w:t>
      </w:r>
      <w:r w:rsidRPr="001060E6">
        <w:rPr>
          <w:rFonts w:ascii="Verdana" w:hAnsi="Verdana" w:cs="Verdana"/>
          <w:sz w:val="18"/>
          <w:szCs w:val="18"/>
        </w:rPr>
        <w:t xml:space="preserve"> (перелік </w:t>
      </w:r>
      <w:r>
        <w:rPr>
          <w:rFonts w:ascii="Verdana" w:hAnsi="Verdana" w:cs="Verdana"/>
          <w:sz w:val="18"/>
          <w:szCs w:val="18"/>
        </w:rPr>
        <w:t xml:space="preserve">додаткових </w:t>
      </w:r>
      <w:r w:rsidRPr="001060E6">
        <w:rPr>
          <w:rFonts w:ascii="Verdana" w:hAnsi="Verdana" w:cs="Verdana"/>
          <w:sz w:val="18"/>
          <w:szCs w:val="18"/>
        </w:rPr>
        <w:t>питань, що виносяться на голосування):</w:t>
      </w:r>
    </w:p>
    <w:p w:rsidR="00DD58F4" w:rsidRPr="00C303A1" w:rsidRDefault="00DD58F4" w:rsidP="00DD58F4">
      <w:pPr>
        <w:suppressAutoHyphens w:val="0"/>
        <w:jc w:val="both"/>
        <w:rPr>
          <w:rFonts w:ascii="Verdana" w:eastAsia="Calibri" w:hAnsi="Verdana" w:cs="Calibri"/>
          <w:color w:val="000000"/>
          <w:sz w:val="18"/>
          <w:szCs w:val="18"/>
          <w:lang w:eastAsia="en-US"/>
        </w:rPr>
      </w:pP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>10.  Отримання кредитних коштів/фінансування в АТ «Райффайзен Банк Аваль».</w:t>
      </w:r>
    </w:p>
    <w:p w:rsidR="00DD58F4" w:rsidRPr="00C303A1" w:rsidRDefault="00DD58F4" w:rsidP="00DD58F4">
      <w:pPr>
        <w:suppressAutoHyphens w:val="0"/>
        <w:jc w:val="both"/>
        <w:rPr>
          <w:rFonts w:ascii="Verdana" w:eastAsia="Calibri" w:hAnsi="Verdana" w:cs="Calibri"/>
          <w:color w:val="000000"/>
          <w:sz w:val="18"/>
          <w:szCs w:val="18"/>
          <w:lang w:eastAsia="en-US"/>
        </w:rPr>
      </w:pP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>11.</w:t>
      </w: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ab/>
        <w:t>Надання майна в заставу/іпотеку АТ «Райффайзен Банк Аваль» з метою забезпечення виконання зобов’язань Товариства перед АТ «Райффайзен Банк Аваль».</w:t>
      </w:r>
    </w:p>
    <w:p w:rsidR="00DD58F4" w:rsidRPr="00C303A1" w:rsidRDefault="00DD58F4" w:rsidP="00DD58F4">
      <w:pPr>
        <w:suppressAutoHyphens w:val="0"/>
        <w:jc w:val="both"/>
        <w:rPr>
          <w:rFonts w:ascii="Verdana" w:eastAsia="Calibri" w:hAnsi="Verdana" w:cs="Calibri"/>
          <w:color w:val="000000"/>
          <w:sz w:val="18"/>
          <w:szCs w:val="18"/>
          <w:lang w:eastAsia="en-US"/>
        </w:rPr>
      </w:pP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>12.</w:t>
      </w: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ab/>
        <w:t xml:space="preserve">Підтвердження повноважень Генерального директора Лавриненка Сергія Геннадійовича та/або фінансового директора </w:t>
      </w:r>
      <w:proofErr w:type="spellStart"/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>Муксімова</w:t>
      </w:r>
      <w:proofErr w:type="spellEnd"/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 xml:space="preserve"> Андрія Олександровича як керівників виконавчого органу та надання повноважень на укладання (підписання) договорів/додаткових угод та всіх необхідних документів.</w:t>
      </w:r>
    </w:p>
    <w:p w:rsidR="00DD58F4" w:rsidRPr="00C303A1" w:rsidRDefault="00DD58F4" w:rsidP="00DD58F4">
      <w:pPr>
        <w:suppressAutoHyphens w:val="0"/>
        <w:rPr>
          <w:rFonts w:ascii="Verdana" w:eastAsia="Calibri" w:hAnsi="Verdana" w:cs="Calibri"/>
          <w:color w:val="000000"/>
          <w:sz w:val="18"/>
          <w:szCs w:val="18"/>
          <w:lang w:eastAsia="en-US"/>
        </w:rPr>
      </w:pP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>13.</w:t>
      </w:r>
      <w:r w:rsidRPr="00C303A1">
        <w:rPr>
          <w:rFonts w:ascii="Verdana" w:eastAsia="Calibri" w:hAnsi="Verdana" w:cs="Calibri"/>
          <w:color w:val="000000"/>
          <w:sz w:val="18"/>
          <w:szCs w:val="18"/>
          <w:lang w:eastAsia="en-US"/>
        </w:rPr>
        <w:tab/>
        <w:t xml:space="preserve"> Прийняття рішення про попереднє схвалення значних правочинів.</w:t>
      </w:r>
    </w:p>
    <w:p w:rsidR="00DD58F4" w:rsidRPr="001060E6" w:rsidRDefault="00DD58F4" w:rsidP="00DD58F4">
      <w:pPr>
        <w:pStyle w:val="a3"/>
        <w:tabs>
          <w:tab w:val="left" w:pos="180"/>
        </w:tabs>
        <w:suppressAutoHyphens/>
        <w:jc w:val="both"/>
        <w:rPr>
          <w:rFonts w:ascii="Verdana" w:hAnsi="Verdana" w:cs="Verdana"/>
          <w:sz w:val="18"/>
          <w:szCs w:val="18"/>
          <w:lang w:val="uk-UA"/>
        </w:rPr>
      </w:pPr>
    </w:p>
    <w:p w:rsidR="00DD58F4" w:rsidRPr="001060E6" w:rsidRDefault="00DD58F4" w:rsidP="00DD58F4">
      <w:pPr>
        <w:shd w:val="clear" w:color="auto" w:fill="FFFFFF"/>
        <w:spacing w:line="228" w:lineRule="auto"/>
        <w:rPr>
          <w:rFonts w:ascii="Verdana" w:hAnsi="Verdana" w:cs="Verdana"/>
          <w:color w:val="000000"/>
          <w:sz w:val="18"/>
          <w:szCs w:val="18"/>
        </w:rPr>
      </w:pPr>
      <w:r w:rsidRPr="001060E6">
        <w:rPr>
          <w:rFonts w:ascii="Verdana" w:hAnsi="Verdana" w:cs="Verdana"/>
          <w:b/>
          <w:bCs/>
          <w:color w:val="000000"/>
          <w:sz w:val="18"/>
          <w:szCs w:val="18"/>
        </w:rPr>
        <w:t>Проекти рішень</w:t>
      </w:r>
      <w:r w:rsidRPr="001060E6">
        <w:rPr>
          <w:rFonts w:ascii="Verdana" w:hAnsi="Verdana" w:cs="Verdana"/>
          <w:color w:val="000000"/>
          <w:sz w:val="18"/>
          <w:szCs w:val="18"/>
        </w:rPr>
        <w:t xml:space="preserve"> щодо кожного з </w:t>
      </w:r>
      <w:r>
        <w:rPr>
          <w:rFonts w:ascii="Verdana" w:hAnsi="Verdana" w:cs="Verdana"/>
          <w:color w:val="000000"/>
          <w:sz w:val="18"/>
          <w:szCs w:val="18"/>
        </w:rPr>
        <w:t xml:space="preserve">додаткових </w:t>
      </w:r>
      <w:r w:rsidRPr="001060E6">
        <w:rPr>
          <w:rFonts w:ascii="Verdana" w:hAnsi="Verdana" w:cs="Verdana"/>
          <w:color w:val="000000"/>
          <w:sz w:val="18"/>
          <w:szCs w:val="18"/>
        </w:rPr>
        <w:t>питань, включених до проекту порядку денного Загальних зборів.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b/>
          <w:i/>
          <w:sz w:val="22"/>
          <w:szCs w:val="22"/>
          <w:lang w:eastAsia="ru-RU"/>
        </w:rPr>
        <w:t>Проект рішення з 10 питання:</w:t>
      </w:r>
      <w:r w:rsidRPr="00DE54F4">
        <w:rPr>
          <w:rFonts w:eastAsia="Calibri"/>
          <w:sz w:val="22"/>
          <w:szCs w:val="22"/>
          <w:lang w:eastAsia="ru-RU"/>
        </w:rPr>
        <w:t xml:space="preserve"> </w:t>
      </w:r>
      <w:r w:rsidRPr="00D249B1">
        <w:rPr>
          <w:rFonts w:eastAsia="Calibri"/>
          <w:sz w:val="22"/>
          <w:szCs w:val="22"/>
          <w:lang w:eastAsia="ru-RU"/>
        </w:rPr>
        <w:t>Укласти з АТ «Райффайзен Банк Аваль» та Товариством Генеральний договір на здійснення кредитних операцій (далі - ГД) на загальну суму (ліміт) не більше 330 000 000,00 (триста тридцять мільйонів гривень 00 копійок) гривень та строком до «01» травня 2026 р.).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В межах суми (ліміту) та строку ГД Товариству укласти наступні договори: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•</w:t>
      </w:r>
      <w:r w:rsidRPr="00D249B1">
        <w:rPr>
          <w:rFonts w:eastAsia="Calibri"/>
          <w:sz w:val="22"/>
          <w:szCs w:val="22"/>
          <w:lang w:eastAsia="ru-RU"/>
        </w:rPr>
        <w:tab/>
        <w:t>Договір відновлюваної кредитної лінії, в сумі не більше 330 000 000,00 грн. (можливість вибірки грн./</w:t>
      </w:r>
      <w:proofErr w:type="spellStart"/>
      <w:r w:rsidRPr="00D249B1">
        <w:rPr>
          <w:rFonts w:eastAsia="Calibri"/>
          <w:sz w:val="22"/>
          <w:szCs w:val="22"/>
          <w:lang w:eastAsia="ru-RU"/>
        </w:rPr>
        <w:t>дол</w:t>
      </w:r>
      <w:proofErr w:type="spellEnd"/>
      <w:r w:rsidRPr="00D249B1">
        <w:rPr>
          <w:rFonts w:eastAsia="Calibri"/>
          <w:sz w:val="22"/>
          <w:szCs w:val="22"/>
          <w:lang w:eastAsia="ru-RU"/>
        </w:rPr>
        <w:t>./євро), строком до 01.05.2023 р.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•</w:t>
      </w:r>
      <w:r w:rsidRPr="00D249B1">
        <w:rPr>
          <w:rFonts w:eastAsia="Calibri"/>
          <w:sz w:val="22"/>
          <w:szCs w:val="22"/>
          <w:lang w:eastAsia="ru-RU"/>
        </w:rPr>
        <w:tab/>
        <w:t>Договір кредитування траншами, в сумі не більше 330 000 000,00 грн. (можливість вибірки грн./</w:t>
      </w:r>
      <w:proofErr w:type="spellStart"/>
      <w:r w:rsidRPr="00D249B1">
        <w:rPr>
          <w:rFonts w:eastAsia="Calibri"/>
          <w:sz w:val="22"/>
          <w:szCs w:val="22"/>
          <w:lang w:eastAsia="ru-RU"/>
        </w:rPr>
        <w:t>дол</w:t>
      </w:r>
      <w:proofErr w:type="spellEnd"/>
      <w:r w:rsidRPr="00D249B1">
        <w:rPr>
          <w:rFonts w:eastAsia="Calibri"/>
          <w:sz w:val="22"/>
          <w:szCs w:val="22"/>
          <w:lang w:eastAsia="ru-RU"/>
        </w:rPr>
        <w:t>./євро), строком до 01.05.2023 р.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•</w:t>
      </w:r>
      <w:r w:rsidRPr="00D249B1">
        <w:rPr>
          <w:rFonts w:eastAsia="Calibri"/>
          <w:sz w:val="22"/>
          <w:szCs w:val="22"/>
          <w:lang w:eastAsia="ru-RU"/>
        </w:rPr>
        <w:tab/>
        <w:t>Договір невідновлювальної кредитної лінії, в сумі не більше 130 000 000,00 грн. (можливість вибірки грн./</w:t>
      </w:r>
      <w:proofErr w:type="spellStart"/>
      <w:r w:rsidRPr="00D249B1">
        <w:rPr>
          <w:rFonts w:eastAsia="Calibri"/>
          <w:sz w:val="22"/>
          <w:szCs w:val="22"/>
          <w:lang w:eastAsia="ru-RU"/>
        </w:rPr>
        <w:t>дол</w:t>
      </w:r>
      <w:proofErr w:type="spellEnd"/>
      <w:r w:rsidRPr="00D249B1">
        <w:rPr>
          <w:rFonts w:eastAsia="Calibri"/>
          <w:sz w:val="22"/>
          <w:szCs w:val="22"/>
          <w:lang w:eastAsia="ru-RU"/>
        </w:rPr>
        <w:t xml:space="preserve">./євро), строком до 01.05.2026 р. 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•</w:t>
      </w:r>
      <w:r w:rsidRPr="00D249B1">
        <w:rPr>
          <w:rFonts w:eastAsia="Calibri"/>
          <w:sz w:val="22"/>
          <w:szCs w:val="22"/>
          <w:lang w:eastAsia="ru-RU"/>
        </w:rPr>
        <w:tab/>
        <w:t>Договір овердрафту, в сумі не більше 30 000 000,00 грн., строком до 01.07.2022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•</w:t>
      </w:r>
      <w:r w:rsidRPr="00D249B1">
        <w:rPr>
          <w:rFonts w:eastAsia="Calibri"/>
          <w:sz w:val="22"/>
          <w:szCs w:val="22"/>
          <w:lang w:eastAsia="ru-RU"/>
        </w:rPr>
        <w:tab/>
        <w:t>Договір гарантій, в сумі не більше 200 000 000,00 грн. (можливість вибірки грн./</w:t>
      </w:r>
      <w:proofErr w:type="spellStart"/>
      <w:r w:rsidRPr="00D249B1">
        <w:rPr>
          <w:rFonts w:eastAsia="Calibri"/>
          <w:sz w:val="22"/>
          <w:szCs w:val="22"/>
          <w:lang w:eastAsia="ru-RU"/>
        </w:rPr>
        <w:t>дол</w:t>
      </w:r>
      <w:proofErr w:type="spellEnd"/>
      <w:r w:rsidRPr="00D249B1">
        <w:rPr>
          <w:rFonts w:eastAsia="Calibri"/>
          <w:sz w:val="22"/>
          <w:szCs w:val="22"/>
          <w:lang w:eastAsia="ru-RU"/>
        </w:rPr>
        <w:t xml:space="preserve">./євро), строком до 01.05.2023 р. 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249B1">
        <w:rPr>
          <w:rFonts w:eastAsia="Calibri"/>
          <w:sz w:val="22"/>
          <w:szCs w:val="22"/>
          <w:lang w:eastAsia="ru-RU"/>
        </w:rPr>
        <w:t>•</w:t>
      </w:r>
      <w:r w:rsidRPr="00D249B1">
        <w:rPr>
          <w:rFonts w:eastAsia="Calibri"/>
          <w:sz w:val="22"/>
          <w:szCs w:val="22"/>
          <w:lang w:eastAsia="ru-RU"/>
        </w:rPr>
        <w:tab/>
        <w:t>Договір про відкриття акредитиву, в сумі не більше 200 000 000,00 грн. (можливість вибірки грн./</w:t>
      </w:r>
      <w:proofErr w:type="spellStart"/>
      <w:r w:rsidRPr="00D249B1">
        <w:rPr>
          <w:rFonts w:eastAsia="Calibri"/>
          <w:sz w:val="22"/>
          <w:szCs w:val="22"/>
          <w:lang w:eastAsia="ru-RU"/>
        </w:rPr>
        <w:t>дол</w:t>
      </w:r>
      <w:proofErr w:type="spellEnd"/>
      <w:r w:rsidRPr="00D249B1">
        <w:rPr>
          <w:rFonts w:eastAsia="Calibri"/>
          <w:sz w:val="22"/>
          <w:szCs w:val="22"/>
          <w:lang w:eastAsia="ru-RU"/>
        </w:rPr>
        <w:t xml:space="preserve">./євро), строком до 01.05.2023 р.   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val="ru-RU" w:eastAsia="ru-RU"/>
        </w:rPr>
      </w:pPr>
      <w:r w:rsidRPr="00D249B1">
        <w:rPr>
          <w:rFonts w:eastAsia="Calibri"/>
          <w:sz w:val="22"/>
          <w:szCs w:val="22"/>
          <w:lang w:eastAsia="ru-RU"/>
        </w:rPr>
        <w:t>Сума всіх укладених в рамках Генерального договору договорів та додаткових угод може перевищувати ліміт Генерального договору, однак в  будь-якому випадку протягом строку дії Генерального договору - загальний розмір основної суми заборгованості за всіма кредитними операціями на будь-яку дату дії Генерального договору не може перевищувати  загальну суму (ліміт) 330 000 000,00 (триста тридцять мільйонів гривень 00 копійок) гривень</w:t>
      </w:r>
      <w:r>
        <w:rPr>
          <w:rFonts w:eastAsia="Calibri"/>
          <w:sz w:val="22"/>
          <w:szCs w:val="22"/>
          <w:lang w:val="ru-RU" w:eastAsia="ru-RU"/>
        </w:rPr>
        <w:t>.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b/>
          <w:i/>
          <w:sz w:val="22"/>
          <w:szCs w:val="22"/>
          <w:lang w:eastAsia="ru-RU"/>
        </w:rPr>
        <w:t>Проект рішення з 11 питання:</w:t>
      </w:r>
      <w:r w:rsidRPr="00DE54F4">
        <w:rPr>
          <w:rFonts w:eastAsia="Calibri"/>
          <w:sz w:val="22"/>
          <w:szCs w:val="22"/>
          <w:lang w:eastAsia="ru-RU"/>
        </w:rPr>
        <w:t xml:space="preserve"> Передати в заставу/іпотеку АТ «Райффайзен Банк Аваль» в якості забезпечення зобов’язань Товариства за Генеральним договором в загальній сумі 330 000 000,00 (триста тридцять мільйонів гривень 00 копійок) гривень та строком до 01.05.2026 г., наступне майно Товариства: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t>•</w:t>
      </w:r>
      <w:r w:rsidRPr="00DE54F4">
        <w:rPr>
          <w:rFonts w:eastAsia="Calibri"/>
          <w:sz w:val="22"/>
          <w:szCs w:val="22"/>
          <w:lang w:eastAsia="ru-RU"/>
        </w:rPr>
        <w:tab/>
        <w:t>Нежилі будівлі (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рег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. №87021651101) загальною площею 57 249,80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кв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. м., що знаходяться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: Одеська обл., м. Одеса, вул. Водопровідна, буд. 16 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t>•</w:t>
      </w:r>
      <w:r w:rsidRPr="00DE54F4">
        <w:rPr>
          <w:rFonts w:eastAsia="Calibri"/>
          <w:sz w:val="22"/>
          <w:szCs w:val="22"/>
          <w:lang w:eastAsia="ru-RU"/>
        </w:rPr>
        <w:tab/>
        <w:t>Виробничий будинок (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рег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. №1060678251101) загальною площею 15 352,50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кв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. м., що знаходиться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>: Одеська обл., м. Одеса, вул. Водопровідна, буд. 16А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t>•</w:t>
      </w:r>
      <w:r w:rsidRPr="00DE54F4">
        <w:rPr>
          <w:rFonts w:eastAsia="Calibri"/>
          <w:sz w:val="22"/>
          <w:szCs w:val="22"/>
          <w:lang w:eastAsia="ru-RU"/>
        </w:rPr>
        <w:tab/>
        <w:t>Нежитлові будівлі та споруди (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рег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. №1506463351101) загальною площею 43 264,30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кв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. м. що знаходяться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>: Одеська обл., м. Одеса, вул. Вапняна, буд. 52-А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t>•</w:t>
      </w:r>
      <w:r w:rsidRPr="00DE54F4">
        <w:rPr>
          <w:rFonts w:eastAsia="Calibri"/>
          <w:sz w:val="22"/>
          <w:szCs w:val="22"/>
          <w:lang w:eastAsia="ru-RU"/>
        </w:rPr>
        <w:tab/>
        <w:t xml:space="preserve">Земельна ділянка загальною площею 9,402 га, що знаходиться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>: Одеська обл., м. Одеса, вул. Водопровідна, земельна ділянка 16 (кадастровий №510137500:38:004:0021).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t>•</w:t>
      </w:r>
      <w:r w:rsidRPr="00DE54F4">
        <w:rPr>
          <w:rFonts w:eastAsia="Calibri"/>
          <w:sz w:val="22"/>
          <w:szCs w:val="22"/>
          <w:lang w:eastAsia="ru-RU"/>
        </w:rPr>
        <w:tab/>
        <w:t xml:space="preserve">Земельна ділянка загальною площею 16,0237 га, що знаходиться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: Одеська обл., м. Одеса, вул. Вапняна, земельна ділянка 52-А (кадастровий № 5110137600:58:001:0018). 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lastRenderedPageBreak/>
        <w:t>•</w:t>
      </w:r>
      <w:r w:rsidRPr="00DE54F4">
        <w:rPr>
          <w:rFonts w:eastAsia="Calibri"/>
          <w:sz w:val="22"/>
          <w:szCs w:val="22"/>
          <w:lang w:eastAsia="ru-RU"/>
        </w:rPr>
        <w:tab/>
        <w:t xml:space="preserve">Обладнання згідно переліку зазначеного в Додатку №1 до даного протоколу, що знаходиться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 xml:space="preserve">: Одеська обл., м. Одеса, вул. Водопровідна, буд. 16 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sz w:val="22"/>
          <w:szCs w:val="22"/>
          <w:lang w:eastAsia="ru-RU"/>
        </w:rPr>
      </w:pPr>
      <w:r w:rsidRPr="00DE54F4">
        <w:rPr>
          <w:rFonts w:eastAsia="Calibri"/>
          <w:sz w:val="22"/>
          <w:szCs w:val="22"/>
          <w:lang w:eastAsia="ru-RU"/>
        </w:rPr>
        <w:t>•</w:t>
      </w:r>
      <w:r w:rsidRPr="00DE54F4">
        <w:rPr>
          <w:rFonts w:eastAsia="Calibri"/>
          <w:sz w:val="22"/>
          <w:szCs w:val="22"/>
          <w:lang w:eastAsia="ru-RU"/>
        </w:rPr>
        <w:tab/>
        <w:t xml:space="preserve">Обладнання згідно переліку зазначеного в Додатку №1 до даного протоколу, що знаходиться за </w:t>
      </w:r>
      <w:proofErr w:type="spellStart"/>
      <w:r w:rsidRPr="00DE54F4">
        <w:rPr>
          <w:rFonts w:eastAsia="Calibri"/>
          <w:sz w:val="22"/>
          <w:szCs w:val="22"/>
          <w:lang w:eastAsia="ru-RU"/>
        </w:rPr>
        <w:t>адресою</w:t>
      </w:r>
      <w:proofErr w:type="spellEnd"/>
      <w:r w:rsidRPr="00DE54F4">
        <w:rPr>
          <w:rFonts w:eastAsia="Calibri"/>
          <w:sz w:val="22"/>
          <w:szCs w:val="22"/>
          <w:lang w:eastAsia="ru-RU"/>
        </w:rPr>
        <w:t>: Одеська обл., м. Одеса, вул. Вапняна, буд. 52-А.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E54F4">
        <w:rPr>
          <w:rFonts w:eastAsia="Calibri"/>
          <w:b/>
          <w:i/>
          <w:sz w:val="22"/>
          <w:szCs w:val="22"/>
          <w:lang w:eastAsia="en-US"/>
        </w:rPr>
        <w:t>Проект рішення з 12 питання:</w:t>
      </w:r>
      <w:r w:rsidRPr="00DE54F4">
        <w:rPr>
          <w:rFonts w:eastAsia="Calibri"/>
          <w:sz w:val="22"/>
          <w:szCs w:val="22"/>
          <w:lang w:eastAsia="en-US"/>
        </w:rPr>
        <w:t xml:space="preserve"> Підтвердити повноваження Генерального директора Лавриненка Сергія  Геннадійовича та фінансового директора </w:t>
      </w:r>
      <w:proofErr w:type="spellStart"/>
      <w:r w:rsidRPr="00DE54F4">
        <w:rPr>
          <w:rFonts w:eastAsia="Calibri"/>
          <w:sz w:val="22"/>
          <w:szCs w:val="22"/>
          <w:lang w:eastAsia="en-US"/>
        </w:rPr>
        <w:t>Муксімова</w:t>
      </w:r>
      <w:proofErr w:type="spellEnd"/>
      <w:r w:rsidRPr="00DE54F4">
        <w:rPr>
          <w:rFonts w:eastAsia="Calibri"/>
          <w:sz w:val="22"/>
          <w:szCs w:val="22"/>
          <w:lang w:eastAsia="en-US"/>
        </w:rPr>
        <w:t xml:space="preserve"> Андрія Олександровича як керівників виконавчого органу та уповноважити їх укласти (підписати) від імені Товариства договори необхідні для виконання прийнятих рішень</w:t>
      </w:r>
      <w:r w:rsidRPr="00DE54F4">
        <w:rPr>
          <w:rFonts w:eastAsia="Calibri"/>
          <w:iCs/>
          <w:sz w:val="22"/>
          <w:szCs w:val="22"/>
          <w:lang w:eastAsia="en-US" w:bidi="ru-RU"/>
        </w:rPr>
        <w:t xml:space="preserve"> з АТ «Райффайзен Банк Аваль».</w:t>
      </w:r>
    </w:p>
    <w:p w:rsidR="00DD58F4" w:rsidRPr="00DE54F4" w:rsidRDefault="00DD58F4" w:rsidP="00DD58F4">
      <w:pPr>
        <w:suppressAutoHyphens w:val="0"/>
        <w:jc w:val="both"/>
        <w:rPr>
          <w:rFonts w:eastAsia="Calibri"/>
          <w:iCs/>
          <w:sz w:val="22"/>
          <w:szCs w:val="22"/>
          <w:lang w:eastAsia="en-US"/>
        </w:rPr>
      </w:pPr>
      <w:r w:rsidRPr="00DE54F4">
        <w:rPr>
          <w:rFonts w:eastAsia="Calibri"/>
          <w:iCs/>
          <w:sz w:val="22"/>
          <w:szCs w:val="22"/>
          <w:lang w:eastAsia="en-US"/>
        </w:rPr>
        <w:t>Договори/додаткові угоди, що укладені та/або будуть укладені на підставі даного рішення (протоколу) Загальних зборів є затвердженими (схваленими, погодженими тощо) та не потребують будь-якого додаткового (повторного) рішення Загальних зборів щодо їх укладання.</w:t>
      </w:r>
    </w:p>
    <w:p w:rsidR="00DD58F4" w:rsidRPr="00D249B1" w:rsidRDefault="00DD58F4" w:rsidP="00DD58F4">
      <w:pPr>
        <w:suppressAutoHyphens w:val="0"/>
        <w:jc w:val="both"/>
        <w:rPr>
          <w:rFonts w:eastAsia="Calibri"/>
          <w:sz w:val="22"/>
          <w:szCs w:val="22"/>
          <w:lang w:val="ru-RU" w:eastAsia="en-US"/>
        </w:rPr>
      </w:pPr>
      <w:r w:rsidRPr="00DE54F4">
        <w:rPr>
          <w:rFonts w:eastAsia="Calibri"/>
          <w:b/>
          <w:bCs/>
          <w:i/>
          <w:sz w:val="22"/>
          <w:szCs w:val="22"/>
          <w:lang w:eastAsia="en-US"/>
        </w:rPr>
        <w:t>Проект рішення з 13 питання:</w:t>
      </w:r>
      <w:r w:rsidRPr="00DE54F4">
        <w:rPr>
          <w:rFonts w:eastAsia="Calibri"/>
          <w:sz w:val="22"/>
          <w:szCs w:val="22"/>
          <w:lang w:eastAsia="ru-RU"/>
        </w:rPr>
        <w:t xml:space="preserve"> </w:t>
      </w:r>
      <w:r w:rsidRPr="00D249B1">
        <w:rPr>
          <w:rFonts w:eastAsia="Calibri"/>
          <w:sz w:val="22"/>
          <w:szCs w:val="22"/>
          <w:lang w:eastAsia="ru-RU"/>
        </w:rPr>
        <w:t>Прийняття рішення про попереднє схвалення наступних значних правочинів: кредитні договори – гранична сукупна вартість дорівнює 500 000 000,00 ( п’ятсот  мільйонів гривень), договори гарантій/ про відкриття акредитивів – гранична сукупна вартість дорівнює 500 000 000,00 (п’ятсот мільйонів гривень), договори застави/ іпотеки – гранична сукупна вартість майна 800 000 000,00 (вісімсот мільйонів гривень). Повноваження на визначення/узгодження суттєвих умов кожного окремого договору надати наглядовій раді Товариства</w:t>
      </w:r>
      <w:r>
        <w:rPr>
          <w:rFonts w:eastAsia="Calibri"/>
          <w:sz w:val="22"/>
          <w:szCs w:val="22"/>
          <w:lang w:val="ru-RU" w:eastAsia="ru-RU"/>
        </w:rPr>
        <w:t>.</w:t>
      </w:r>
    </w:p>
    <w:p w:rsidR="00DD58F4" w:rsidRPr="00C303A1" w:rsidRDefault="00DD58F4" w:rsidP="00DD58F4">
      <w:pPr>
        <w:spacing w:before="80"/>
        <w:ind w:firstLine="425"/>
        <w:jc w:val="both"/>
        <w:rPr>
          <w:rFonts w:ascii="Verdana" w:hAnsi="Verdana" w:cs="Verdana"/>
          <w:sz w:val="18"/>
          <w:szCs w:val="18"/>
          <w:lang w:val="ru-RU"/>
        </w:rPr>
      </w:pPr>
    </w:p>
    <w:p w:rsidR="00DD58F4" w:rsidRPr="001060E6" w:rsidRDefault="00DD58F4" w:rsidP="00DD58F4">
      <w:pPr>
        <w:spacing w:before="80"/>
        <w:ind w:firstLine="425"/>
        <w:jc w:val="both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 xml:space="preserve">Адреса власного веб-сайту, на якому розміщена інформація з проектом рішень щодо кожного з </w:t>
      </w:r>
      <w:r>
        <w:rPr>
          <w:rFonts w:ascii="Verdana" w:hAnsi="Verdana" w:cs="Verdana"/>
          <w:sz w:val="18"/>
          <w:szCs w:val="18"/>
        </w:rPr>
        <w:t xml:space="preserve">додаткових </w:t>
      </w:r>
      <w:r w:rsidRPr="001060E6">
        <w:rPr>
          <w:rFonts w:ascii="Verdana" w:hAnsi="Verdana" w:cs="Verdana"/>
          <w:sz w:val="18"/>
          <w:szCs w:val="18"/>
        </w:rPr>
        <w:t xml:space="preserve">питань, включених до проекту порядку денного, а також інформацію зазначену частині 4 статті 35 Закону України «Про акціонерні товариства»: </w:t>
      </w:r>
      <w:hyperlink r:id="rId5" w:history="1">
        <w:r w:rsidRPr="001060E6">
          <w:rPr>
            <w:rStyle w:val="a4"/>
            <w:rFonts w:ascii="Verdana" w:hAnsi="Verdana" w:cs="Verdana"/>
            <w:sz w:val="18"/>
            <w:szCs w:val="18"/>
          </w:rPr>
          <w:t>https://stalkanatsilur.com.ua/</w:t>
        </w:r>
      </w:hyperlink>
    </w:p>
    <w:p w:rsidR="00DD58F4" w:rsidRPr="001060E6" w:rsidRDefault="00DD58F4" w:rsidP="00DD58F4">
      <w:pPr>
        <w:spacing w:before="120"/>
        <w:ind w:firstLine="425"/>
        <w:jc w:val="both"/>
        <w:rPr>
          <w:rFonts w:ascii="Verdana" w:hAnsi="Verdana" w:cs="Verdana"/>
          <w:color w:val="000000"/>
          <w:sz w:val="18"/>
          <w:szCs w:val="18"/>
        </w:rPr>
      </w:pPr>
      <w:r w:rsidRPr="001060E6">
        <w:rPr>
          <w:rFonts w:ascii="Verdana" w:hAnsi="Verdana" w:cs="Verdana"/>
          <w:color w:val="000000"/>
          <w:sz w:val="18"/>
          <w:szCs w:val="18"/>
        </w:rPr>
        <w:t xml:space="preserve">При проведенні Загальних зборів, акціонери мають можливість скористатися правами передбаченими у ст. 36 Закону України </w:t>
      </w:r>
      <w:r w:rsidRPr="001060E6">
        <w:rPr>
          <w:rFonts w:ascii="Verdana" w:hAnsi="Verdana" w:cs="Verdana"/>
          <w:sz w:val="18"/>
          <w:szCs w:val="18"/>
        </w:rPr>
        <w:t>«Про акціонерні товариства», у тому числі</w:t>
      </w:r>
      <w:r w:rsidRPr="001060E6">
        <w:rPr>
          <w:rFonts w:ascii="Verdana" w:hAnsi="Verdana" w:cs="Verdana"/>
          <w:color w:val="000000"/>
          <w:sz w:val="18"/>
          <w:szCs w:val="18"/>
        </w:rPr>
        <w:t xml:space="preserve">: </w:t>
      </w:r>
    </w:p>
    <w:p w:rsidR="00DD58F4" w:rsidRPr="001060E6" w:rsidRDefault="00DD58F4" w:rsidP="00DD58F4">
      <w:pPr>
        <w:ind w:firstLine="425"/>
        <w:jc w:val="both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color w:val="000000"/>
          <w:sz w:val="18"/>
          <w:szCs w:val="18"/>
        </w:rPr>
        <w:t xml:space="preserve">- порядок ознайомлення акціонерів з матеріалами, з якими вони можуть ознайомитися під час підготовки до загальних зборів: у строк від дати надіслання повідомлення про проведення загальних зборів до дати проведення загальних зборів кожний акціонер має право ознайомитися з документами, необхідними для прийняття рішень з питань порядку денного, за </w:t>
      </w:r>
      <w:proofErr w:type="spellStart"/>
      <w:r w:rsidRPr="001060E6">
        <w:rPr>
          <w:rFonts w:ascii="Verdana" w:hAnsi="Verdana" w:cs="Verdana"/>
          <w:color w:val="000000"/>
          <w:sz w:val="18"/>
          <w:szCs w:val="18"/>
        </w:rPr>
        <w:t>адресою</w:t>
      </w:r>
      <w:proofErr w:type="spellEnd"/>
      <w:r w:rsidRPr="001060E6">
        <w:rPr>
          <w:rFonts w:ascii="Verdana" w:hAnsi="Verdana" w:cs="Verdana"/>
          <w:color w:val="000000"/>
          <w:sz w:val="18"/>
          <w:szCs w:val="18"/>
        </w:rPr>
        <w:t xml:space="preserve">: м. Одеса, вул. Водопровідна, буд. 16 у приміщенні </w:t>
      </w:r>
      <w:r w:rsidRPr="001060E6">
        <w:rPr>
          <w:rFonts w:ascii="Verdana" w:hAnsi="Verdana" w:cs="Verdana"/>
          <w:sz w:val="16"/>
          <w:szCs w:val="16"/>
          <w:lang w:val="ru-RU"/>
        </w:rPr>
        <w:t>конференц</w:t>
      </w:r>
      <w:r w:rsidRPr="001060E6">
        <w:rPr>
          <w:rFonts w:ascii="Verdana" w:hAnsi="Verdana" w:cs="Verdana"/>
          <w:color w:val="000000"/>
          <w:sz w:val="18"/>
          <w:szCs w:val="18"/>
          <w:lang w:val="ru-RU"/>
        </w:rPr>
        <w:t>-</w:t>
      </w:r>
      <w:r w:rsidRPr="001060E6">
        <w:rPr>
          <w:rFonts w:ascii="Verdana" w:hAnsi="Verdana" w:cs="Verdana"/>
          <w:color w:val="000000"/>
          <w:sz w:val="18"/>
          <w:szCs w:val="18"/>
        </w:rPr>
        <w:t xml:space="preserve">залу Товариства, 2 поверх, кімната № 23, у вівторок та середу з 14.00 до 16.00, а в день проведення загальних зборів – також у місці їх проведення. Посадова особа товариства, відповідальна за порядок ознайомлення з документами, пов’язаними з проведенням Загальних </w:t>
      </w:r>
      <w:r w:rsidRPr="001060E6">
        <w:rPr>
          <w:rFonts w:ascii="Verdana" w:hAnsi="Verdana" w:cs="Verdana"/>
          <w:sz w:val="18"/>
          <w:szCs w:val="18"/>
        </w:rPr>
        <w:t xml:space="preserve">зборів Товариства –  начальник юридичного відділу Товариства Цимбалюк Максим Вікторович, телефон для довідок (048) </w:t>
      </w:r>
      <w:r w:rsidRPr="001060E6">
        <w:rPr>
          <w:rFonts w:ascii="Verdana" w:hAnsi="Verdana" w:cs="Verdana"/>
          <w:sz w:val="18"/>
          <w:szCs w:val="18"/>
          <w:shd w:val="clear" w:color="auto" w:fill="FFFFFF"/>
        </w:rPr>
        <w:t>777-67-04</w:t>
      </w:r>
      <w:r w:rsidRPr="001060E6">
        <w:rPr>
          <w:rFonts w:ascii="Verdana" w:hAnsi="Verdana" w:cs="Verdana"/>
          <w:sz w:val="18"/>
          <w:szCs w:val="18"/>
        </w:rPr>
        <w:t>.</w:t>
      </w:r>
    </w:p>
    <w:p w:rsidR="00DD58F4" w:rsidRPr="001060E6" w:rsidRDefault="00DD58F4" w:rsidP="00DD58F4">
      <w:pPr>
        <w:ind w:firstLine="425"/>
        <w:jc w:val="both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>- у строк після отримання повідомлення про проведення Загальних зборів до дати проведення Загальних зборів,</w:t>
      </w:r>
      <w:r w:rsidRPr="001060E6">
        <w:rPr>
          <w:rFonts w:ascii="Verdana" w:hAnsi="Verdana" w:cs="Verdana"/>
          <w:color w:val="000000"/>
          <w:sz w:val="18"/>
          <w:szCs w:val="18"/>
        </w:rPr>
        <w:t xml:space="preserve"> кожний акціонер має право ознайомитися з документами</w:t>
      </w:r>
      <w:r w:rsidRPr="001060E6">
        <w:rPr>
          <w:rFonts w:ascii="Verdana" w:hAnsi="Verdana" w:cs="Verdana"/>
          <w:sz w:val="18"/>
          <w:szCs w:val="18"/>
        </w:rPr>
        <w:t xml:space="preserve"> шляхом подання письмового запитання щодо питань, включених до порядку денного загальних зборів, на адресу місцезнаходження Товариства на ім’я відповідальної особи за порядок ознайомлення з документами, пов’язаними з проведенням Загальних зборів Товариства. Товариство, в особі начальника юридичного відділу </w:t>
      </w:r>
      <w:r w:rsidRPr="001060E6">
        <w:rPr>
          <w:rFonts w:ascii="Verdana" w:hAnsi="Verdana" w:cs="Verdana"/>
          <w:color w:val="000000"/>
          <w:sz w:val="18"/>
          <w:szCs w:val="18"/>
        </w:rPr>
        <w:t>Товариства Цимбалюка Максима Вікторовича</w:t>
      </w:r>
      <w:r w:rsidRPr="001060E6">
        <w:rPr>
          <w:rFonts w:ascii="Verdana" w:hAnsi="Verdana" w:cs="Verdana"/>
          <w:sz w:val="18"/>
          <w:szCs w:val="18"/>
        </w:rPr>
        <w:t xml:space="preserve">,  до початку Загальних зборів зобов’язане надавати письмові відповіді на письмові запитання акціонерів щодо питань, включених до порядку денного Загальних зборів, до дати проведення Загальних зборів, не пізніше двох робочих днів з дати отримання письмового запитання від акціонера шляхом направлення рекомендованого листа на адресу акціонера, яка вказана у переліку акціонерів Товариства, яким </w:t>
      </w:r>
      <w:proofErr w:type="spellStart"/>
      <w:r w:rsidRPr="001060E6">
        <w:rPr>
          <w:rFonts w:ascii="Verdana" w:hAnsi="Verdana" w:cs="Verdana"/>
          <w:sz w:val="18"/>
          <w:szCs w:val="18"/>
        </w:rPr>
        <w:t>надсилатиметься</w:t>
      </w:r>
      <w:proofErr w:type="spellEnd"/>
      <w:r w:rsidRPr="001060E6">
        <w:rPr>
          <w:rFonts w:ascii="Verdana" w:hAnsi="Verdana" w:cs="Verdana"/>
          <w:sz w:val="18"/>
          <w:szCs w:val="18"/>
        </w:rPr>
        <w:t xml:space="preserve"> письмове повідомлення про проведення Загальних зборів Товариства станом на </w:t>
      </w:r>
      <w:r w:rsidRPr="001060E6">
        <w:rPr>
          <w:rFonts w:ascii="Verdana" w:hAnsi="Verdana" w:cs="Verdana"/>
          <w:color w:val="000000"/>
          <w:sz w:val="18"/>
          <w:szCs w:val="18"/>
        </w:rPr>
        <w:t>«19» березня</w:t>
      </w:r>
      <w:r w:rsidRPr="001060E6">
        <w:rPr>
          <w:rFonts w:ascii="Verdana" w:hAnsi="Verdana" w:cs="Verdana"/>
          <w:sz w:val="18"/>
          <w:szCs w:val="18"/>
        </w:rPr>
        <w:t xml:space="preserve"> 2021 р., або іншим засобом, що вказаний у запитанні акціонера.</w:t>
      </w:r>
    </w:p>
    <w:p w:rsidR="00DD58F4" w:rsidRPr="001060E6" w:rsidRDefault="00DD58F4" w:rsidP="00DD58F4">
      <w:pPr>
        <w:jc w:val="right"/>
        <w:rPr>
          <w:rFonts w:ascii="Verdana" w:hAnsi="Verdana" w:cs="Verdana"/>
          <w:sz w:val="18"/>
          <w:szCs w:val="18"/>
        </w:rPr>
      </w:pPr>
      <w:r w:rsidRPr="001060E6">
        <w:rPr>
          <w:rFonts w:ascii="Verdana" w:hAnsi="Verdana" w:cs="Verdana"/>
          <w:sz w:val="18"/>
          <w:szCs w:val="18"/>
        </w:rPr>
        <w:t>Голова Наглядової ради Товариства Немировський В.Л.</w:t>
      </w:r>
    </w:p>
    <w:p w:rsidR="00DD58F4" w:rsidRDefault="00DD58F4" w:rsidP="00DD58F4">
      <w:pPr>
        <w:ind w:firstLine="425"/>
        <w:jc w:val="right"/>
      </w:pPr>
      <w:r w:rsidRPr="001060E6">
        <w:rPr>
          <w:rFonts w:ascii="Verdana" w:hAnsi="Verdana" w:cs="Verdana"/>
          <w:sz w:val="18"/>
          <w:szCs w:val="18"/>
        </w:rPr>
        <w:t xml:space="preserve">Телефон для довідок (048) </w:t>
      </w:r>
      <w:r w:rsidRPr="001060E6">
        <w:rPr>
          <w:rFonts w:ascii="Verdana" w:hAnsi="Verdana" w:cs="Verdana"/>
          <w:sz w:val="18"/>
          <w:szCs w:val="18"/>
          <w:shd w:val="clear" w:color="auto" w:fill="FFFFFF"/>
        </w:rPr>
        <w:t>777-67-04</w:t>
      </w:r>
    </w:p>
    <w:p w:rsidR="00DD58F4" w:rsidRPr="00E5117E" w:rsidRDefault="00DD58F4" w:rsidP="00DD58F4">
      <w:pPr>
        <w:shd w:val="clear" w:color="auto" w:fill="FFFFFF"/>
        <w:jc w:val="center"/>
        <w:rPr>
          <w:rFonts w:ascii="Verdana" w:hAnsi="Verdana" w:cs="Verdana"/>
          <w:sz w:val="16"/>
          <w:szCs w:val="16"/>
        </w:rPr>
      </w:pPr>
    </w:p>
    <w:p w:rsidR="00B92D59" w:rsidRDefault="00B92D59">
      <w:bookmarkStart w:id="0" w:name="_GoBack"/>
      <w:bookmarkEnd w:id="0"/>
    </w:p>
    <w:sectPr w:rsidR="00B92D59" w:rsidSect="00234646">
      <w:pgSz w:w="11906" w:h="16838"/>
      <w:pgMar w:top="567" w:right="56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F4"/>
    <w:rsid w:val="00B92D59"/>
    <w:rsid w:val="00D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8F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DD5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8F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DD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lkanatsilur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Cynbakuk_MV</dc:creator>
  <cp:lastModifiedBy>Cynbakuk_MV</cp:lastModifiedBy>
  <cp:revision>1</cp:revision>
  <dcterms:created xsi:type="dcterms:W3CDTF">2021-04-26T12:08:00Z</dcterms:created>
  <dcterms:modified xsi:type="dcterms:W3CDTF">2021-04-26T12:09:00Z</dcterms:modified>
</cp:coreProperties>
</file>